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line="360" w:lineRule="auto"/>
        <w:jc w:val="center"/>
        <w:rPr>
          <w:rFonts w:hint="eastAsia" w:ascii="宋体" w:hAnsi="宋体" w:cs="宋体"/>
          <w:b/>
          <w:bCs/>
          <w:sz w:val="44"/>
          <w:szCs w:val="44"/>
          <w:shd w:val="clear" w:color="030000" w:fill="FFFFFF"/>
        </w:rPr>
      </w:pPr>
    </w:p>
    <w:p>
      <w:pPr>
        <w:pStyle w:val="4"/>
        <w:widowControl/>
        <w:spacing w:line="360" w:lineRule="auto"/>
        <w:jc w:val="center"/>
        <w:rPr>
          <w:rFonts w:hint="eastAsia" w:ascii="方正小标宋简体" w:hAnsi="方正小标宋简体" w:eastAsia="方正小标宋简体" w:cs="方正小标宋简体"/>
          <w:b w:val="0"/>
          <w:bCs w:val="0"/>
          <w:sz w:val="44"/>
          <w:szCs w:val="44"/>
          <w:shd w:val="clear" w:color="030000" w:fill="FFFFFF"/>
        </w:rPr>
      </w:pPr>
      <w:r>
        <w:rPr>
          <w:rFonts w:hint="eastAsia" w:ascii="方正小标宋简体" w:hAnsi="方正小标宋简体" w:eastAsia="方正小标宋简体" w:cs="方正小标宋简体"/>
          <w:b w:val="0"/>
          <w:bCs w:val="0"/>
          <w:sz w:val="44"/>
          <w:szCs w:val="44"/>
          <w:shd w:val="clear" w:color="030000" w:fill="FFFFFF"/>
        </w:rPr>
        <w:t>关于代销“华鑫信托</w:t>
      </w:r>
      <w:r>
        <w:rPr>
          <w:rFonts w:hint="eastAsia" w:ascii="方正小标宋简体" w:hAnsi="方正小标宋简体" w:eastAsia="方正小标宋简体" w:cs="方正小标宋简体"/>
          <w:b w:val="0"/>
          <w:bCs w:val="0"/>
          <w:sz w:val="44"/>
          <w:szCs w:val="44"/>
          <w:shd w:val="clear" w:color="030000" w:fill="FFFFFF"/>
          <w:lang w:val="en-US" w:eastAsia="zh-CN"/>
        </w:rPr>
        <w:t>-</w:t>
      </w:r>
      <w:r>
        <w:rPr>
          <w:rFonts w:hint="eastAsia" w:ascii="方正小标宋简体" w:hAnsi="方正小标宋简体" w:eastAsia="方正小标宋简体" w:cs="方正小标宋简体"/>
          <w:b w:val="0"/>
          <w:bCs w:val="0"/>
          <w:sz w:val="44"/>
          <w:szCs w:val="44"/>
          <w:shd w:val="clear" w:color="030000" w:fill="FFFFFF"/>
        </w:rPr>
        <w:t>开元滇盈1号集合资金信托计划（第</w:t>
      </w:r>
      <w:r>
        <w:rPr>
          <w:rFonts w:hint="eastAsia" w:ascii="方正小标宋简体" w:hAnsi="方正小标宋简体" w:eastAsia="方正小标宋简体" w:cs="方正小标宋简体"/>
          <w:b w:val="0"/>
          <w:bCs w:val="0"/>
          <w:sz w:val="44"/>
          <w:szCs w:val="44"/>
          <w:shd w:val="clear" w:color="030000" w:fill="FFFFFF"/>
          <w:lang w:val="en-US" w:eastAsia="zh-CN"/>
        </w:rPr>
        <w:t>三</w:t>
      </w:r>
      <w:r>
        <w:rPr>
          <w:rFonts w:hint="eastAsia" w:ascii="方正小标宋简体" w:hAnsi="方正小标宋简体" w:eastAsia="方正小标宋简体" w:cs="方正小标宋简体"/>
          <w:b w:val="0"/>
          <w:bCs w:val="0"/>
          <w:sz w:val="44"/>
          <w:szCs w:val="44"/>
          <w:shd w:val="clear" w:color="030000" w:fill="FFFFFF"/>
        </w:rPr>
        <w:t>期）”的公告</w:t>
      </w:r>
    </w:p>
    <w:p>
      <w:pPr>
        <w:pStyle w:val="4"/>
        <w:widowControl/>
        <w:spacing w:line="360" w:lineRule="auto"/>
        <w:rPr>
          <w:rFonts w:hint="eastAsia" w:ascii="仿宋" w:hAnsi="仿宋" w:eastAsia="仿宋" w:cs="仿宋"/>
          <w:b/>
          <w:bCs/>
          <w:sz w:val="32"/>
          <w:szCs w:val="32"/>
          <w:shd w:val="clear" w:color="030000" w:fill="FFFFFF"/>
        </w:rPr>
      </w:pPr>
    </w:p>
    <w:p>
      <w:pPr>
        <w:pStyle w:val="4"/>
        <w:widowControl/>
        <w:spacing w:line="360" w:lineRule="auto"/>
        <w:rPr>
          <w:rFonts w:hint="eastAsia" w:ascii="方正仿宋简体" w:hAnsi="方正仿宋简体" w:eastAsia="方正仿宋简体" w:cs="方正仿宋简体"/>
          <w:b w:val="0"/>
          <w:bCs w:val="0"/>
          <w:sz w:val="32"/>
          <w:szCs w:val="32"/>
        </w:rPr>
      </w:pPr>
      <w:r>
        <w:rPr>
          <w:rFonts w:hint="eastAsia" w:ascii="方正仿宋简体" w:hAnsi="方正仿宋简体" w:eastAsia="方正仿宋简体" w:cs="方正仿宋简体"/>
          <w:b w:val="0"/>
          <w:bCs w:val="0"/>
          <w:sz w:val="32"/>
          <w:szCs w:val="32"/>
          <w:shd w:val="clear" w:color="030000" w:fill="FFFFFF"/>
        </w:rPr>
        <w:t>尊敬的投资者：</w:t>
      </w:r>
    </w:p>
    <w:p>
      <w:pPr>
        <w:spacing w:line="360" w:lineRule="auto"/>
        <w:ind w:firstLine="640" w:firstLineChars="200"/>
        <w:rPr>
          <w:rFonts w:hint="eastAsia" w:ascii="方正仿宋简体" w:hAnsi="方正仿宋简体" w:eastAsia="方正仿宋简体" w:cs="方正仿宋简体"/>
          <w:b w:val="0"/>
          <w:bCs w:val="0"/>
          <w:sz w:val="32"/>
          <w:szCs w:val="32"/>
          <w:shd w:val="clear" w:color="030000" w:fill="FFFFFF"/>
        </w:rPr>
      </w:pPr>
      <w:r>
        <w:rPr>
          <w:rFonts w:hint="eastAsia" w:ascii="方正仿宋简体" w:hAnsi="方正仿宋简体" w:eastAsia="方正仿宋简体" w:cs="方正仿宋简体"/>
          <w:b w:val="0"/>
          <w:bCs w:val="0"/>
          <w:sz w:val="32"/>
          <w:szCs w:val="32"/>
          <w:shd w:val="clear" w:color="030000" w:fill="FFFFFF"/>
        </w:rPr>
        <w:t>本行自202</w:t>
      </w:r>
      <w:r>
        <w:rPr>
          <w:rFonts w:hint="eastAsia" w:ascii="方正仿宋简体" w:hAnsi="方正仿宋简体" w:eastAsia="方正仿宋简体" w:cs="方正仿宋简体"/>
          <w:b w:val="0"/>
          <w:bCs w:val="0"/>
          <w:sz w:val="32"/>
          <w:szCs w:val="32"/>
          <w:shd w:val="clear" w:color="030000" w:fill="FFFFFF"/>
          <w:lang w:val="en-US" w:eastAsia="zh-CN"/>
        </w:rPr>
        <w:t>5</w:t>
      </w:r>
      <w:r>
        <w:rPr>
          <w:rFonts w:hint="eastAsia" w:ascii="方正仿宋简体" w:hAnsi="方正仿宋简体" w:eastAsia="方正仿宋简体" w:cs="方正仿宋简体"/>
          <w:b w:val="0"/>
          <w:bCs w:val="0"/>
          <w:sz w:val="32"/>
          <w:szCs w:val="32"/>
          <w:shd w:val="clear" w:color="030000" w:fill="FFFFFF"/>
        </w:rPr>
        <w:t>年</w:t>
      </w:r>
      <w:r>
        <w:rPr>
          <w:rFonts w:hint="eastAsia" w:ascii="方正仿宋简体" w:hAnsi="方正仿宋简体" w:eastAsia="方正仿宋简体" w:cs="方正仿宋简体"/>
          <w:b w:val="0"/>
          <w:bCs w:val="0"/>
          <w:sz w:val="32"/>
          <w:szCs w:val="32"/>
          <w:shd w:val="clear" w:color="030000" w:fill="FFFFFF"/>
          <w:lang w:val="en-US" w:eastAsia="zh-CN"/>
        </w:rPr>
        <w:t>6</w:t>
      </w:r>
      <w:r>
        <w:rPr>
          <w:rFonts w:hint="eastAsia" w:ascii="方正仿宋简体" w:hAnsi="方正仿宋简体" w:eastAsia="方正仿宋简体" w:cs="方正仿宋简体"/>
          <w:b w:val="0"/>
          <w:bCs w:val="0"/>
          <w:sz w:val="32"/>
          <w:szCs w:val="32"/>
          <w:shd w:val="clear" w:color="030000" w:fill="FFFFFF"/>
        </w:rPr>
        <w:t>月</w:t>
      </w:r>
      <w:r>
        <w:rPr>
          <w:rFonts w:hint="eastAsia" w:ascii="方正仿宋简体" w:hAnsi="方正仿宋简体" w:eastAsia="方正仿宋简体" w:cs="方正仿宋简体"/>
          <w:b w:val="0"/>
          <w:bCs w:val="0"/>
          <w:sz w:val="32"/>
          <w:szCs w:val="32"/>
          <w:shd w:val="clear" w:color="030000" w:fill="FFFFFF"/>
          <w:lang w:val="en-US" w:eastAsia="zh-CN"/>
        </w:rPr>
        <w:t>25</w:t>
      </w:r>
      <w:r>
        <w:rPr>
          <w:rFonts w:hint="eastAsia" w:ascii="方正仿宋简体" w:hAnsi="方正仿宋简体" w:eastAsia="方正仿宋简体" w:cs="方正仿宋简体"/>
          <w:b w:val="0"/>
          <w:bCs w:val="0"/>
          <w:sz w:val="32"/>
          <w:szCs w:val="32"/>
          <w:shd w:val="clear" w:color="030000" w:fill="FFFFFF"/>
        </w:rPr>
        <w:t>日至</w:t>
      </w:r>
      <w:r>
        <w:rPr>
          <w:rFonts w:hint="eastAsia" w:ascii="方正仿宋简体" w:hAnsi="方正仿宋简体" w:eastAsia="方正仿宋简体" w:cs="方正仿宋简体"/>
          <w:b w:val="0"/>
          <w:bCs w:val="0"/>
          <w:sz w:val="32"/>
          <w:szCs w:val="32"/>
          <w:shd w:val="clear" w:color="030000" w:fill="FFFFFF"/>
          <w:lang w:val="en-US" w:eastAsia="zh-CN"/>
        </w:rPr>
        <w:t>7</w:t>
      </w:r>
      <w:r>
        <w:rPr>
          <w:rFonts w:hint="eastAsia" w:ascii="方正仿宋简体" w:hAnsi="方正仿宋简体" w:eastAsia="方正仿宋简体" w:cs="方正仿宋简体"/>
          <w:b w:val="0"/>
          <w:bCs w:val="0"/>
          <w:sz w:val="32"/>
          <w:szCs w:val="32"/>
          <w:shd w:val="clear" w:color="030000" w:fill="FFFFFF"/>
        </w:rPr>
        <w:t>月</w:t>
      </w:r>
      <w:r>
        <w:rPr>
          <w:rFonts w:hint="eastAsia" w:ascii="方正仿宋简体" w:hAnsi="方正仿宋简体" w:eastAsia="方正仿宋简体" w:cs="方正仿宋简体"/>
          <w:b w:val="0"/>
          <w:bCs w:val="0"/>
          <w:sz w:val="32"/>
          <w:szCs w:val="32"/>
          <w:shd w:val="clear" w:color="030000" w:fill="FFFFFF"/>
          <w:lang w:val="en-US" w:eastAsia="zh-CN"/>
        </w:rPr>
        <w:t>1</w:t>
      </w:r>
      <w:r>
        <w:rPr>
          <w:rFonts w:hint="eastAsia" w:ascii="方正仿宋简体" w:hAnsi="方正仿宋简体" w:eastAsia="方正仿宋简体" w:cs="方正仿宋简体"/>
          <w:b w:val="0"/>
          <w:bCs w:val="0"/>
          <w:sz w:val="32"/>
          <w:szCs w:val="32"/>
          <w:shd w:val="clear" w:color="030000" w:fill="FFFFFF"/>
        </w:rPr>
        <w:t>日代理销售“华鑫信托</w:t>
      </w:r>
      <w:r>
        <w:rPr>
          <w:rFonts w:hint="eastAsia" w:ascii="方正仿宋简体" w:hAnsi="方正仿宋简体" w:eastAsia="方正仿宋简体" w:cs="方正仿宋简体"/>
          <w:b w:val="0"/>
          <w:bCs w:val="0"/>
          <w:sz w:val="32"/>
          <w:szCs w:val="32"/>
          <w:shd w:val="clear" w:color="030000" w:fill="FFFFFF"/>
          <w:lang w:val="en-US" w:eastAsia="zh-CN"/>
        </w:rPr>
        <w:t>-</w:t>
      </w:r>
      <w:r>
        <w:rPr>
          <w:rFonts w:hint="eastAsia" w:ascii="方正仿宋简体" w:hAnsi="方正仿宋简体" w:eastAsia="方正仿宋简体" w:cs="方正仿宋简体"/>
          <w:b w:val="0"/>
          <w:bCs w:val="0"/>
          <w:sz w:val="32"/>
          <w:szCs w:val="32"/>
          <w:shd w:val="clear" w:color="030000" w:fill="FFFFFF"/>
        </w:rPr>
        <w:t>开元滇盈1号集合资金信托计划（第</w:t>
      </w:r>
      <w:r>
        <w:rPr>
          <w:rFonts w:hint="eastAsia" w:ascii="方正仿宋简体" w:hAnsi="方正仿宋简体" w:eastAsia="方正仿宋简体" w:cs="方正仿宋简体"/>
          <w:b w:val="0"/>
          <w:bCs w:val="0"/>
          <w:sz w:val="32"/>
          <w:szCs w:val="32"/>
          <w:shd w:val="clear" w:color="030000" w:fill="FFFFFF"/>
          <w:lang w:val="en-US" w:eastAsia="zh-CN"/>
        </w:rPr>
        <w:t>三</w:t>
      </w:r>
      <w:r>
        <w:rPr>
          <w:rFonts w:hint="eastAsia" w:ascii="方正仿宋简体" w:hAnsi="方正仿宋简体" w:eastAsia="方正仿宋简体" w:cs="方正仿宋简体"/>
          <w:b w:val="0"/>
          <w:bCs w:val="0"/>
          <w:sz w:val="32"/>
          <w:szCs w:val="32"/>
          <w:shd w:val="clear" w:color="030000" w:fill="FFFFFF"/>
        </w:rPr>
        <w:t>期）”，产品简介如下：</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3"/>
        <w:gridCol w:w="68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项目名称</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华鑫信托</w:t>
            </w:r>
            <w:r>
              <w:rPr>
                <w:rFonts w:hint="eastAsia" w:ascii="方正仿宋简体" w:hAnsi="方正仿宋简体" w:eastAsia="方正仿宋简体" w:cs="方正仿宋简体"/>
                <w:vertAlign w:val="baseline"/>
                <w:lang w:val="en-US" w:eastAsia="zh-CN"/>
              </w:rPr>
              <w:t>-</w:t>
            </w:r>
            <w:r>
              <w:rPr>
                <w:rFonts w:hint="eastAsia" w:ascii="方正仿宋简体" w:hAnsi="方正仿宋简体" w:eastAsia="方正仿宋简体" w:cs="方正仿宋简体"/>
                <w:vertAlign w:val="baseline"/>
              </w:rPr>
              <w:t>开元滇盈1号集合资金信托计划（第</w:t>
            </w:r>
            <w:r>
              <w:rPr>
                <w:rFonts w:hint="eastAsia" w:ascii="方正仿宋简体" w:hAnsi="方正仿宋简体" w:eastAsia="方正仿宋简体" w:cs="方正仿宋简体"/>
                <w:vertAlign w:val="baseline"/>
                <w:lang w:val="en-US" w:eastAsia="zh-CN"/>
              </w:rPr>
              <w:t>3</w:t>
            </w:r>
            <w:r>
              <w:rPr>
                <w:rFonts w:hint="eastAsia" w:ascii="方正仿宋简体" w:hAnsi="方正仿宋简体" w:eastAsia="方正仿宋简体" w:cs="方正仿宋简体"/>
                <w:vertAlign w:val="baseline"/>
              </w:rPr>
              <w:t>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受托管理人</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华鑫国际信托有限公司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代理销售机构</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富滇银行股份有限公司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产品结构</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TOT/TOF结构，信托资金用于投资标准化债券（主要为城投债）、货币市场工具，以及以标准化债券类资产为主要投资方向的资管产品(包括受托人华鑫信托作为管理人发行和管理的信托计划)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产品运作方式</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本信托计划为开放式信托，各期资金设置初始封闭期，初始封闭期到期时自动赎回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资金期限</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本信托计划期限为5年，每期资金初始封闭期为12个月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信托类型及风险等级</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本信托计划为固定收益类净值型产品，风险等级为R3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认购起点</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30万元起投，以1万元的整数倍递增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产品费用</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认申购费及赎回费：无</w:t>
            </w:r>
          </w:p>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信托报酬：固定信托报酬率（管理费）0.1%/年+浮动信托报酬（具体计提标准参见《信托合同》信托报酬章节）；</w:t>
            </w:r>
          </w:p>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代理销售费用：以受托人和代理销售机构另行签署的《销售协议》约定为准；</w:t>
            </w:r>
          </w:p>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保管费：以受托人和保管人另行签署的《保管协议》约定为准。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超额投资收益计提基准</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超额投资收益计提基准为3.</w:t>
            </w:r>
            <w:r>
              <w:rPr>
                <w:rFonts w:hint="eastAsia" w:ascii="方正仿宋简体" w:hAnsi="方正仿宋简体" w:eastAsia="方正仿宋简体" w:cs="方正仿宋简体"/>
                <w:vertAlign w:val="baseline"/>
                <w:lang w:val="en-US" w:eastAsia="zh-CN"/>
              </w:rPr>
              <w:t>1</w:t>
            </w:r>
            <w:r>
              <w:rPr>
                <w:rFonts w:hint="eastAsia" w:ascii="方正仿宋简体" w:hAnsi="方正仿宋简体" w:eastAsia="方正仿宋简体" w:cs="方正仿宋简体"/>
                <w:vertAlign w:val="baseline"/>
              </w:rPr>
              <w:t>%/年（为管理人是否计提超额投资收益的标准，不是产品业绩预测或承诺）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投资范围</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信托资金投资于①标准化债券，包括但不限于国债、金融债、地方政府债、中央银行票据、公司债（含非公开）、企业债、中期票据、短期融资券、超短期融资券、非公开定向债务融资工具、项目收益债、资产支持证券、资产支持票据等;②货币市场工具，包括但不限于银行存款（包括定期存款及其他银行存款）、债券回购（含逆回购、正回购）、同业存单、大额可转让存单、货币基金、现金等；③信托业保障基金；④债券型基金；⑤符合法律法规及监管政策要求的其他固收类投资品种，以及主要投资于上述投资品种的资管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3"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投资限制</w:t>
            </w:r>
          </w:p>
        </w:tc>
        <w:tc>
          <w:tcPr>
            <w:tcW w:w="6839" w:type="dxa"/>
            <w:noWrap w:val="0"/>
            <w:vAlign w:val="top"/>
          </w:tcPr>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1.投资于存款、债券等债权类资产以及主要投资于上述投资品种的资产管理产品的投资比例占信托计划总资产比例不低于80%（含）。</w:t>
            </w:r>
          </w:p>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2.信托计划总资产不得超过信托计划净资产的200%。</w:t>
            </w:r>
          </w:p>
          <w:p>
            <w:pPr>
              <w:rPr>
                <w:rFonts w:hint="eastAsia" w:ascii="方正仿宋简体" w:hAnsi="方正仿宋简体" w:eastAsia="方正仿宋简体" w:cs="方正仿宋简体"/>
                <w:vertAlign w:val="baseline"/>
              </w:rPr>
            </w:pPr>
            <w:r>
              <w:rPr>
                <w:rFonts w:hint="eastAsia" w:ascii="方正仿宋简体" w:hAnsi="方正仿宋简体" w:eastAsia="方正仿宋简体" w:cs="方正仿宋简体"/>
                <w:vertAlign w:val="baseline"/>
              </w:rPr>
              <w:t>3.其他限制：不得将信托财产用于贷款、抵押融资及对外担保等用途。</w:t>
            </w:r>
          </w:p>
        </w:tc>
      </w:tr>
    </w:tbl>
    <w:p>
      <w:pPr>
        <w:spacing w:line="360" w:lineRule="auto"/>
        <w:ind w:firstLine="640" w:firstLineChars="200"/>
        <w:rPr>
          <w:rFonts w:hint="eastAsia" w:ascii="仿宋" w:hAnsi="仿宋" w:eastAsia="仿宋" w:cs="仿宋"/>
          <w:sz w:val="32"/>
          <w:szCs w:val="32"/>
          <w:shd w:val="clear" w:color="030000" w:fill="FFFFFF"/>
        </w:rPr>
      </w:pPr>
    </w:p>
    <w:p>
      <w:pPr>
        <w:pStyle w:val="4"/>
        <w:widowControl/>
        <w:spacing w:before="150" w:after="76"/>
        <w:rPr>
          <w:rFonts w:hint="eastAsia" w:ascii="方正仿宋简体" w:hAnsi="方正仿宋简体" w:eastAsia="方正仿宋简体" w:cs="方正仿宋简体"/>
          <w:sz w:val="32"/>
          <w:szCs w:val="32"/>
          <w:shd w:val="clear" w:color="030000" w:fill="FFFFFF"/>
        </w:rPr>
      </w:pPr>
      <w:r>
        <w:rPr>
          <w:rFonts w:hint="eastAsia" w:ascii="仿宋" w:hAnsi="仿宋" w:eastAsia="仿宋" w:cs="仿宋"/>
          <w:sz w:val="32"/>
          <w:szCs w:val="32"/>
          <w:shd w:val="clear" w:color="030000" w:fill="FFFFFF"/>
        </w:rPr>
        <w:t xml:space="preserve">   </w:t>
      </w:r>
      <w:r>
        <w:rPr>
          <w:rFonts w:hint="eastAsia" w:ascii="方正仿宋简体" w:hAnsi="方正仿宋简体" w:eastAsia="方正仿宋简体" w:cs="方正仿宋简体"/>
          <w:sz w:val="32"/>
          <w:szCs w:val="32"/>
          <w:shd w:val="clear" w:color="030000" w:fill="FFFFFF"/>
        </w:rPr>
        <w:t xml:space="preserve"> 信托计划详情及相关风险详询富滇银行各营业网点。</w:t>
      </w:r>
    </w:p>
    <w:p>
      <w:pPr>
        <w:pStyle w:val="4"/>
        <w:widowControl/>
        <w:spacing w:before="150" w:after="76"/>
        <w:ind w:firstLine="660"/>
        <w:rPr>
          <w:rFonts w:hint="eastAsia" w:ascii="方正仿宋简体" w:hAnsi="方正仿宋简体" w:eastAsia="方正仿宋简体" w:cs="方正仿宋简体"/>
          <w:sz w:val="32"/>
          <w:szCs w:val="32"/>
          <w:shd w:val="clear" w:color="030000" w:fill="FFFFFF"/>
        </w:rPr>
      </w:pPr>
      <w:r>
        <w:rPr>
          <w:rFonts w:hint="eastAsia" w:ascii="方正仿宋简体" w:hAnsi="方正仿宋简体" w:eastAsia="方正仿宋简体" w:cs="方正仿宋简体"/>
          <w:sz w:val="32"/>
          <w:szCs w:val="32"/>
          <w:shd w:val="clear" w:color="030000" w:fill="FFFFFF"/>
        </w:rPr>
        <w:t>本产品由华鑫国际信托有限公司</w:t>
      </w:r>
      <w:r>
        <w:rPr>
          <w:rFonts w:hint="eastAsia" w:ascii="方正仿宋简体" w:hAnsi="方正仿宋简体" w:eastAsia="方正仿宋简体" w:cs="方正仿宋简体"/>
          <w:sz w:val="32"/>
          <w:szCs w:val="32"/>
        </w:rPr>
        <w:t>发行与管理，富滇银行不承担产品投资、兑付和风险管理责任。</w:t>
      </w:r>
    </w:p>
    <w:p>
      <w:pPr>
        <w:pStyle w:val="4"/>
        <w:widowControl/>
        <w:spacing w:before="150" w:after="76"/>
        <w:ind w:firstLine="660"/>
        <w:jc w:val="right"/>
        <w:rPr>
          <w:rFonts w:hint="eastAsia" w:ascii="方正仿宋简体" w:hAnsi="方正仿宋简体" w:eastAsia="方正仿宋简体" w:cs="方正仿宋简体"/>
          <w:sz w:val="32"/>
          <w:szCs w:val="32"/>
          <w:shd w:val="clear" w:color="030000" w:fill="FFFFFF"/>
        </w:rPr>
      </w:pPr>
    </w:p>
    <w:p>
      <w:pPr>
        <w:pStyle w:val="4"/>
        <w:widowControl/>
        <w:spacing w:before="150" w:after="76"/>
        <w:ind w:firstLine="660"/>
        <w:jc w:val="right"/>
        <w:rPr>
          <w:rFonts w:hint="eastAsia" w:ascii="方正仿宋简体" w:hAnsi="方正仿宋简体" w:eastAsia="方正仿宋简体" w:cs="方正仿宋简体"/>
          <w:sz w:val="32"/>
          <w:szCs w:val="32"/>
          <w:shd w:val="clear" w:color="030000" w:fill="FFFFFF"/>
        </w:rPr>
      </w:pPr>
      <w:bookmarkStart w:id="0" w:name="_GoBack"/>
      <w:bookmarkEnd w:id="0"/>
      <w:r>
        <w:rPr>
          <w:rFonts w:hint="eastAsia" w:ascii="方正仿宋简体" w:hAnsi="方正仿宋简体" w:eastAsia="方正仿宋简体" w:cs="方正仿宋简体"/>
          <w:sz w:val="32"/>
          <w:szCs w:val="32"/>
          <w:shd w:val="clear" w:color="030000" w:fill="FFFFFF"/>
        </w:rPr>
        <w:t>富滇银行股份有限公司</w:t>
      </w:r>
    </w:p>
    <w:p>
      <w:pPr>
        <w:pStyle w:val="4"/>
        <w:widowControl/>
        <w:spacing w:before="150" w:after="76"/>
        <w:ind w:firstLine="660"/>
        <w:jc w:val="right"/>
        <w:rPr>
          <w:rFonts w:ascii="宋体" w:hAnsi="宋体" w:cs="宋体"/>
          <w:sz w:val="32"/>
          <w:szCs w:val="32"/>
        </w:rPr>
      </w:pPr>
      <w:r>
        <w:rPr>
          <w:rFonts w:hint="eastAsia" w:ascii="方正仿宋简体" w:hAnsi="方正仿宋简体" w:eastAsia="方正仿宋简体" w:cs="方正仿宋简体"/>
          <w:sz w:val="32"/>
          <w:szCs w:val="32"/>
          <w:shd w:val="clear" w:color="030000" w:fill="FFFFFF"/>
        </w:rPr>
        <w:t>202</w:t>
      </w:r>
      <w:r>
        <w:rPr>
          <w:rFonts w:hint="eastAsia" w:ascii="方正仿宋简体" w:hAnsi="方正仿宋简体" w:eastAsia="方正仿宋简体" w:cs="方正仿宋简体"/>
          <w:sz w:val="32"/>
          <w:szCs w:val="32"/>
          <w:shd w:val="clear" w:color="030000" w:fill="FFFFFF"/>
          <w:lang w:val="en-US" w:eastAsia="zh-CN"/>
        </w:rPr>
        <w:t>5</w:t>
      </w:r>
      <w:r>
        <w:rPr>
          <w:rFonts w:hint="eastAsia" w:ascii="方正仿宋简体" w:hAnsi="方正仿宋简体" w:eastAsia="方正仿宋简体" w:cs="方正仿宋简体"/>
          <w:sz w:val="32"/>
          <w:szCs w:val="32"/>
          <w:shd w:val="clear" w:color="030000" w:fill="FFFFFF"/>
        </w:rPr>
        <w:t>年</w:t>
      </w:r>
      <w:r>
        <w:rPr>
          <w:rFonts w:hint="eastAsia" w:ascii="方正仿宋简体" w:hAnsi="方正仿宋简体" w:eastAsia="方正仿宋简体" w:cs="方正仿宋简体"/>
          <w:sz w:val="32"/>
          <w:szCs w:val="32"/>
          <w:shd w:val="clear" w:color="030000" w:fill="FFFFFF"/>
          <w:lang w:val="en-US" w:eastAsia="zh-CN"/>
        </w:rPr>
        <w:t>6</w:t>
      </w:r>
      <w:r>
        <w:rPr>
          <w:rFonts w:hint="eastAsia" w:ascii="方正仿宋简体" w:hAnsi="方正仿宋简体" w:eastAsia="方正仿宋简体" w:cs="方正仿宋简体"/>
          <w:sz w:val="32"/>
          <w:szCs w:val="32"/>
          <w:shd w:val="clear" w:color="030000" w:fill="FFFFFF"/>
        </w:rPr>
        <w:t>月</w:t>
      </w:r>
      <w:r>
        <w:rPr>
          <w:rFonts w:hint="eastAsia" w:ascii="方正仿宋简体" w:hAnsi="方正仿宋简体" w:eastAsia="方正仿宋简体" w:cs="方正仿宋简体"/>
          <w:sz w:val="32"/>
          <w:szCs w:val="32"/>
          <w:shd w:val="clear" w:color="030000" w:fill="FFFFFF"/>
          <w:lang w:val="en-US" w:eastAsia="zh-CN"/>
        </w:rPr>
        <w:t>11</w:t>
      </w:r>
      <w:r>
        <w:rPr>
          <w:rFonts w:hint="eastAsia" w:ascii="方正仿宋简体" w:hAnsi="方正仿宋简体" w:eastAsia="方正仿宋简体" w:cs="方正仿宋简体"/>
          <w:sz w:val="32"/>
          <w:szCs w:val="32"/>
          <w:shd w:val="clear" w:color="030000" w:fill="FFFFFF"/>
        </w:rPr>
        <w:t>日</w:t>
      </w:r>
    </w:p>
    <w:sectPr>
      <w:pgSz w:w="11906" w:h="16838"/>
      <w:pgMar w:top="851"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772670"/>
    <w:rsid w:val="001B0006"/>
    <w:rsid w:val="002522BC"/>
    <w:rsid w:val="00310171"/>
    <w:rsid w:val="0047001F"/>
    <w:rsid w:val="00615774"/>
    <w:rsid w:val="006610EC"/>
    <w:rsid w:val="00772670"/>
    <w:rsid w:val="00776AA6"/>
    <w:rsid w:val="00864818"/>
    <w:rsid w:val="00882F11"/>
    <w:rsid w:val="009F411F"/>
    <w:rsid w:val="00A034D8"/>
    <w:rsid w:val="00C765A4"/>
    <w:rsid w:val="00D02C2F"/>
    <w:rsid w:val="00D2121E"/>
    <w:rsid w:val="00DE3DFA"/>
    <w:rsid w:val="01373D4C"/>
    <w:rsid w:val="020C4A3E"/>
    <w:rsid w:val="02A86BF8"/>
    <w:rsid w:val="03420F5A"/>
    <w:rsid w:val="0651158C"/>
    <w:rsid w:val="065B1B3D"/>
    <w:rsid w:val="07774C58"/>
    <w:rsid w:val="090B6391"/>
    <w:rsid w:val="095E5500"/>
    <w:rsid w:val="09FC6DD0"/>
    <w:rsid w:val="0A5E508E"/>
    <w:rsid w:val="0A7416A1"/>
    <w:rsid w:val="0A871AD6"/>
    <w:rsid w:val="0AC8253F"/>
    <w:rsid w:val="0BEA0098"/>
    <w:rsid w:val="0BF150A5"/>
    <w:rsid w:val="0C721B2E"/>
    <w:rsid w:val="0DCA79F1"/>
    <w:rsid w:val="0E213113"/>
    <w:rsid w:val="0FA0293D"/>
    <w:rsid w:val="0FCC0FF8"/>
    <w:rsid w:val="10AB2BE5"/>
    <w:rsid w:val="12B85398"/>
    <w:rsid w:val="12B86EE8"/>
    <w:rsid w:val="12D4417D"/>
    <w:rsid w:val="12E17E2E"/>
    <w:rsid w:val="15443677"/>
    <w:rsid w:val="158255E8"/>
    <w:rsid w:val="168168C1"/>
    <w:rsid w:val="16B43E0F"/>
    <w:rsid w:val="16BA4D90"/>
    <w:rsid w:val="16E44AB4"/>
    <w:rsid w:val="16FA16C0"/>
    <w:rsid w:val="183271AA"/>
    <w:rsid w:val="184B6D3F"/>
    <w:rsid w:val="19142FE7"/>
    <w:rsid w:val="19401370"/>
    <w:rsid w:val="194E1AA7"/>
    <w:rsid w:val="195C0FB1"/>
    <w:rsid w:val="1A200389"/>
    <w:rsid w:val="1A2F1202"/>
    <w:rsid w:val="1A42248D"/>
    <w:rsid w:val="1A4B6B87"/>
    <w:rsid w:val="1A5204BD"/>
    <w:rsid w:val="1AE25AC4"/>
    <w:rsid w:val="1B196F8A"/>
    <w:rsid w:val="1B5B2EEE"/>
    <w:rsid w:val="1CAF531B"/>
    <w:rsid w:val="1D995F3E"/>
    <w:rsid w:val="20B57099"/>
    <w:rsid w:val="21167369"/>
    <w:rsid w:val="219E0135"/>
    <w:rsid w:val="22325A02"/>
    <w:rsid w:val="23E34242"/>
    <w:rsid w:val="253D7326"/>
    <w:rsid w:val="25731D7F"/>
    <w:rsid w:val="25CC798C"/>
    <w:rsid w:val="2633302A"/>
    <w:rsid w:val="2750388E"/>
    <w:rsid w:val="28894890"/>
    <w:rsid w:val="28962A0F"/>
    <w:rsid w:val="295C266A"/>
    <w:rsid w:val="29BC4E57"/>
    <w:rsid w:val="2A4662E5"/>
    <w:rsid w:val="2B097438"/>
    <w:rsid w:val="2B76220E"/>
    <w:rsid w:val="2C170757"/>
    <w:rsid w:val="2E1C5B78"/>
    <w:rsid w:val="2E232A64"/>
    <w:rsid w:val="2EE826CF"/>
    <w:rsid w:val="2F594BBE"/>
    <w:rsid w:val="2F64514D"/>
    <w:rsid w:val="30247B0A"/>
    <w:rsid w:val="317F4543"/>
    <w:rsid w:val="32545188"/>
    <w:rsid w:val="328174AA"/>
    <w:rsid w:val="333D1A82"/>
    <w:rsid w:val="336736C1"/>
    <w:rsid w:val="34AD46FA"/>
    <w:rsid w:val="34EF5164"/>
    <w:rsid w:val="367811BE"/>
    <w:rsid w:val="36DA046A"/>
    <w:rsid w:val="37677F1B"/>
    <w:rsid w:val="3798788E"/>
    <w:rsid w:val="38D06409"/>
    <w:rsid w:val="396D6ECE"/>
    <w:rsid w:val="39DF54D4"/>
    <w:rsid w:val="3B6362F8"/>
    <w:rsid w:val="3BA3267B"/>
    <w:rsid w:val="3C2C775F"/>
    <w:rsid w:val="3C972F77"/>
    <w:rsid w:val="3CB44AA5"/>
    <w:rsid w:val="3D083CA8"/>
    <w:rsid w:val="3DF45431"/>
    <w:rsid w:val="3E113DBD"/>
    <w:rsid w:val="3F043070"/>
    <w:rsid w:val="3F66564E"/>
    <w:rsid w:val="3FF74C02"/>
    <w:rsid w:val="406F50E1"/>
    <w:rsid w:val="40983EE7"/>
    <w:rsid w:val="40C06849"/>
    <w:rsid w:val="41353855"/>
    <w:rsid w:val="424247BC"/>
    <w:rsid w:val="42D9273C"/>
    <w:rsid w:val="44A567F4"/>
    <w:rsid w:val="451F3A07"/>
    <w:rsid w:val="4675403F"/>
    <w:rsid w:val="46AF5ACA"/>
    <w:rsid w:val="46C11D22"/>
    <w:rsid w:val="46D22159"/>
    <w:rsid w:val="46E50C5D"/>
    <w:rsid w:val="47576DC0"/>
    <w:rsid w:val="47C96CD1"/>
    <w:rsid w:val="4890165D"/>
    <w:rsid w:val="48AD2A8C"/>
    <w:rsid w:val="4B9F639D"/>
    <w:rsid w:val="4BFA5E2A"/>
    <w:rsid w:val="4C083E12"/>
    <w:rsid w:val="4C43492C"/>
    <w:rsid w:val="4D0C2439"/>
    <w:rsid w:val="4D1C4AC2"/>
    <w:rsid w:val="4DB27468"/>
    <w:rsid w:val="4E296290"/>
    <w:rsid w:val="4E706CD7"/>
    <w:rsid w:val="50540C20"/>
    <w:rsid w:val="5070781B"/>
    <w:rsid w:val="514C30F0"/>
    <w:rsid w:val="51A61200"/>
    <w:rsid w:val="52006BBA"/>
    <w:rsid w:val="522E6483"/>
    <w:rsid w:val="52CB6DE5"/>
    <w:rsid w:val="53157D34"/>
    <w:rsid w:val="531E63DE"/>
    <w:rsid w:val="535C5AC0"/>
    <w:rsid w:val="5398250A"/>
    <w:rsid w:val="541762A7"/>
    <w:rsid w:val="551D0C46"/>
    <w:rsid w:val="56073564"/>
    <w:rsid w:val="567724F9"/>
    <w:rsid w:val="56E2062F"/>
    <w:rsid w:val="57044ED0"/>
    <w:rsid w:val="57BE1196"/>
    <w:rsid w:val="58156012"/>
    <w:rsid w:val="586370A9"/>
    <w:rsid w:val="58D0689F"/>
    <w:rsid w:val="5A6E47C6"/>
    <w:rsid w:val="5AB715FE"/>
    <w:rsid w:val="5AFA5B62"/>
    <w:rsid w:val="5BF32AEA"/>
    <w:rsid w:val="5BFA7CDF"/>
    <w:rsid w:val="5D4027F1"/>
    <w:rsid w:val="5E886755"/>
    <w:rsid w:val="5F334021"/>
    <w:rsid w:val="5F6E43A8"/>
    <w:rsid w:val="5FB261B7"/>
    <w:rsid w:val="60C014F6"/>
    <w:rsid w:val="60EC3BF1"/>
    <w:rsid w:val="61B968F5"/>
    <w:rsid w:val="62066A93"/>
    <w:rsid w:val="62161BAC"/>
    <w:rsid w:val="62DA005E"/>
    <w:rsid w:val="63D74C00"/>
    <w:rsid w:val="640A5C97"/>
    <w:rsid w:val="64393C7E"/>
    <w:rsid w:val="645D7336"/>
    <w:rsid w:val="64C54DBF"/>
    <w:rsid w:val="64CB796A"/>
    <w:rsid w:val="66375CC2"/>
    <w:rsid w:val="68851CA9"/>
    <w:rsid w:val="68F010FE"/>
    <w:rsid w:val="69D74EB4"/>
    <w:rsid w:val="6A492A73"/>
    <w:rsid w:val="6B7D6262"/>
    <w:rsid w:val="6B861377"/>
    <w:rsid w:val="6BA3333F"/>
    <w:rsid w:val="6BB43A79"/>
    <w:rsid w:val="6D913ADB"/>
    <w:rsid w:val="6E085B93"/>
    <w:rsid w:val="6E8940B4"/>
    <w:rsid w:val="6F3C490B"/>
    <w:rsid w:val="6FF96C8B"/>
    <w:rsid w:val="700F6FBC"/>
    <w:rsid w:val="70C04A87"/>
    <w:rsid w:val="71DD4E6D"/>
    <w:rsid w:val="71E46968"/>
    <w:rsid w:val="722A1ADB"/>
    <w:rsid w:val="723A1635"/>
    <w:rsid w:val="7261385D"/>
    <w:rsid w:val="72663EBE"/>
    <w:rsid w:val="73651863"/>
    <w:rsid w:val="740A0CEC"/>
    <w:rsid w:val="759810C1"/>
    <w:rsid w:val="76170AE2"/>
    <w:rsid w:val="761C5254"/>
    <w:rsid w:val="76722A48"/>
    <w:rsid w:val="78640877"/>
    <w:rsid w:val="79334EF2"/>
    <w:rsid w:val="7955121E"/>
    <w:rsid w:val="798F168E"/>
    <w:rsid w:val="79E8078D"/>
    <w:rsid w:val="79F06E67"/>
    <w:rsid w:val="7B2F04C0"/>
    <w:rsid w:val="7B3958A3"/>
    <w:rsid w:val="7B7F6376"/>
    <w:rsid w:val="7B9F58E0"/>
    <w:rsid w:val="7BB6331F"/>
    <w:rsid w:val="7BE505D2"/>
    <w:rsid w:val="7D163C61"/>
    <w:rsid w:val="7D237C5A"/>
    <w:rsid w:val="7DC36EAF"/>
    <w:rsid w:val="7E4029B0"/>
    <w:rsid w:val="7F717011"/>
    <w:rsid w:val="7FAB0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0"/>
    <w:pPr>
      <w:jc w:val="left"/>
    </w:pPr>
  </w:style>
  <w:style w:type="paragraph" w:styleId="3">
    <w:name w:val="footer"/>
    <w:basedOn w:val="1"/>
    <w:qFormat/>
    <w:uiPriority w:val="0"/>
    <w:pPr>
      <w:tabs>
        <w:tab w:val="center" w:pos="4153"/>
        <w:tab w:val="right" w:pos="8306"/>
      </w:tabs>
      <w:snapToGrid w:val="0"/>
      <w:jc w:val="left"/>
    </w:pPr>
    <w:rPr>
      <w:kern w:val="0"/>
      <w:sz w:val="18"/>
      <w:szCs w:val="18"/>
    </w:rPr>
  </w:style>
  <w:style w:type="paragraph" w:styleId="4">
    <w:name w:val="Normal (Web)"/>
    <w:basedOn w:val="1"/>
    <w:uiPriority w:val="0"/>
    <w:pPr>
      <w:jc w:val="left"/>
    </w:pPr>
    <w:rPr>
      <w:kern w:val="0"/>
      <w:sz w:val="24"/>
    </w:rPr>
  </w:style>
  <w:style w:type="paragraph" w:styleId="5">
    <w:name w:val="annotation subject"/>
    <w:basedOn w:val="2"/>
    <w:next w:val="2"/>
    <w:link w:val="13"/>
    <w:qFormat/>
    <w:uiPriority w:val="0"/>
    <w:rPr>
      <w:b/>
      <w:bCs/>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annotation reference"/>
    <w:basedOn w:val="8"/>
    <w:qFormat/>
    <w:uiPriority w:val="0"/>
    <w:rPr>
      <w:sz w:val="21"/>
      <w:szCs w:val="21"/>
    </w:rPr>
  </w:style>
  <w:style w:type="paragraph" w:customStyle="1" w:styleId="11">
    <w:name w:val="列表段落1"/>
    <w:basedOn w:val="1"/>
    <w:qFormat/>
    <w:uiPriority w:val="34"/>
    <w:pPr>
      <w:ind w:firstLine="420" w:firstLineChars="200"/>
    </w:pPr>
  </w:style>
  <w:style w:type="character" w:customStyle="1" w:styleId="12">
    <w:name w:val="批注文字 字符"/>
    <w:basedOn w:val="8"/>
    <w:link w:val="2"/>
    <w:qFormat/>
    <w:uiPriority w:val="0"/>
    <w:rPr>
      <w:rFonts w:ascii="Calibri" w:hAnsi="Calibri" w:cs="黑体"/>
      <w:kern w:val="2"/>
      <w:sz w:val="21"/>
      <w:szCs w:val="24"/>
    </w:rPr>
  </w:style>
  <w:style w:type="character" w:customStyle="1" w:styleId="13">
    <w:name w:val="批注主题 字符"/>
    <w:basedOn w:val="12"/>
    <w:link w:val="5"/>
    <w:qFormat/>
    <w:uiPriority w:val="0"/>
    <w:rPr>
      <w:rFonts w:ascii="Calibri" w:hAnsi="Calibri" w:cs="黑体"/>
      <w:b/>
      <w:bCs/>
      <w:kern w:val="2"/>
      <w:sz w:val="21"/>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120</Words>
  <Characters>690</Characters>
  <Lines>5</Lines>
  <Paragraphs>1</Paragraphs>
  <TotalTime>10</TotalTime>
  <ScaleCrop>false</ScaleCrop>
  <LinksUpToDate>false</LinksUpToDate>
  <CharactersWithSpaces>809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2021-09-28T07:14:00Z</dcterms:created>
  <dc:creator>tony</dc:creator>
  <cp:lastModifiedBy>FUDIAN</cp:lastModifiedBy>
  <dcterms:modified xsi:type="dcterms:W3CDTF">2025-06-11T02:34:16Z</dcterms:modified>
  <dc:title>关于光大信托-宝汇集合资金信托计划鼎益2105期培训及发行通知</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55064690DA2841AF82C975D7B2B2FB10</vt:lpwstr>
  </property>
</Properties>
</file>