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360" w:lineRule="auto"/>
        <w:jc w:val="center"/>
        <w:rPr>
          <w:rFonts w:hint="eastAsia" w:ascii="宋体" w:hAnsi="宋体" w:cs="宋体"/>
          <w:b/>
          <w:bCs/>
          <w:sz w:val="44"/>
          <w:szCs w:val="44"/>
          <w:shd w:val="clear" w:color="030000" w:fill="FFFFFF"/>
        </w:rPr>
      </w:pPr>
    </w:p>
    <w:p>
      <w:pPr>
        <w:pStyle w:val="5"/>
        <w:widowControl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030000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030000" w:fill="FFFFFF"/>
        </w:rPr>
        <w:t>关于代销“国泰君安君享大类资产全天候16号集合资产管理计划”的公告</w:t>
      </w:r>
    </w:p>
    <w:p>
      <w:pPr>
        <w:pStyle w:val="5"/>
        <w:widowControl/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shd w:val="clear" w:color="030000" w:fill="FFFFFF"/>
        </w:rPr>
      </w:pPr>
    </w:p>
    <w:p>
      <w:pPr>
        <w:pStyle w:val="5"/>
        <w:widowControl/>
        <w:spacing w:line="360" w:lineRule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  <w:t>尊敬的投资者：</w:t>
      </w:r>
    </w:p>
    <w:p>
      <w:pPr>
        <w:spacing w:line="360" w:lineRule="auto"/>
        <w:ind w:firstLine="640" w:firstLineChars="200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  <w:t>本行自202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  <w:t>年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  <w:lang w:val="en-US" w:eastAsia="zh-CN"/>
        </w:rPr>
        <w:t>7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  <w:t>月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  <w:lang w:val="en-US" w:eastAsia="zh-CN"/>
        </w:rPr>
        <w:t>21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  <w:t>日至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  <w:lang w:val="en-US" w:eastAsia="zh-CN"/>
        </w:rPr>
        <w:t>7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  <w:t>月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  <w:lang w:val="en-US" w:eastAsia="zh-CN"/>
        </w:rPr>
        <w:t>25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030000" w:fill="FFFFFF"/>
        </w:rPr>
        <w:t>日代理销售“国泰君安君享大类资产全天候16号集合资产管理计划”，产品简介如下：</w:t>
      </w:r>
    </w:p>
    <w:tbl>
      <w:tblPr>
        <w:tblStyle w:val="7"/>
        <w:tblW w:w="8805" w:type="dxa"/>
        <w:tblInd w:w="-360" w:type="dxa"/>
        <w:tblBorders>
          <w:top w:val="dashed" w:color="BBBBBB" w:sz="4" w:space="0"/>
          <w:left w:val="dashed" w:color="BBBBBB" w:sz="4" w:space="0"/>
          <w:bottom w:val="dashed" w:color="BBBBBB" w:sz="4" w:space="0"/>
          <w:right w:val="dashed" w:color="BBBBBB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7950"/>
      </w:tblGrid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产品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国泰君安君享大类资产全天候16号集合资产管理计划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管理人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上海国泰君安证券资产管理有限公司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托管人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中国建设银行股份有限公司云南省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  <w:lang w:val="en-US" w:eastAsia="zh-CN"/>
              </w:rPr>
              <w:t>分行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混合类集合资产管理计划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投资范围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1）资管计划可根据资金管理的需求，投资于现金、银行存款（包括但不限于活期存款、定期存款、协议存款、大额存单等）、货币市场基金、债券逆回购以及其他经中国证监会、中国人民银行认可的具有良好流动性的货币市场工具；</w:t>
            </w:r>
          </w:p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2）资管计划可投资于公募证券投资基金，包括股票型基金、偏股混合型基金、债券型基金、交易所上市的封闭式证券投资基金和LOF、ETF（含商品ETF）等；</w:t>
            </w:r>
          </w:p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3）资管计划可投资于股指期货、商品期货、国债期货等期货及衍生品类资产；</w:t>
            </w:r>
          </w:p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4）法律、法规、规范性文件、监管机构允许投资的其他投资品种（包括前述各产品类型的QDII产品）。</w:t>
            </w:r>
          </w:p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特别揭示：本计划可投资于债券回购。投资者已充分理解并接受本计划投资债券回购所附带的信用风险、流动性风险、利率风险等风险。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投资比例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1）固定收益类资产：0%～80%；</w:t>
            </w:r>
          </w:p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2）权益类资产：0%～80%；</w:t>
            </w:r>
          </w:p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3）期货及金融衍生品类账户权益：0%～20%；</w:t>
            </w:r>
          </w:p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本集合计划投资于公募证券投资基金，大类资产配置比例、总资产占净资产比例应当按照穿透原则合并计算，上述投资比例符合《运作规定》组合投资的要求。托管人将依据管理人提供的数据进行监控。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存续期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10年（可展期）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开放期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18"/>
                <w:szCs w:val="18"/>
              </w:rPr>
              <w:t>本集合计划自成立次日起每月10日、20日（如遇节假日顺延至下一个工作日）开放办理参与和退出业务。特别的，投资者每笔份额持有时间不得少于270天。合同另有约定的，从其约定。除因根据合同变更或者展期等需要设立临时开放期供投资者退出外，本集合计划原则上不设立特别开放期。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首参金额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18"/>
                <w:szCs w:val="18"/>
              </w:rPr>
              <w:t>单个客户首次参与金额（不含认购/参与费）为40万元，追加参与的最低金额为人民币1万元。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目标规模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</w:rPr>
            </w:pPr>
            <w:bookmarkStart w:id="0" w:name="OLE_LINK2"/>
            <w:bookmarkStart w:id="1" w:name="OLE_LINK1"/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本集合计划初始募集期及存续期均不设规模上限。</w:t>
            </w:r>
            <w:bookmarkEnd w:id="0"/>
            <w:bookmarkEnd w:id="1"/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单个客户首次参与金额（不含认购/参与费）不低于40万元，总参与客户数不超过200户。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参与费率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M（参与金额）＜300万元：0.50%；300万元 ≤ M＜1000万元：0.20%；M ≥ 1000万元：0%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退出费率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0%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产品费率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管理费率0.8%/年；托管费率0.02%/年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业绩比较基准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国泰君安全天候指数 (CI011001.WI)。国泰君安全天候指数 (CI011001.WI) 以全天候思想为基础，标的资产池包括国内外股票、债券、大宗商品、黄金等类别，覆盖了经济增长风险、利率风险、通胀风险等多维度风险，指数的底层资产构成、编制逻辑和本产品的投资范围， 运作思路较为相近，选择国泰君安全天候指数 作为业绩比较基准，可以较为直观的体现本产品运作的策略目标和风险特征。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业绩报酬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当年化收益率超过业绩报酬计提标准4.00%时，本集合计划对超过业绩报酬计提标准4.00%的收益部分提取20%的业绩报酬。（业绩报酬计提标准以管理人公告为准）。业绩报酬计提日为计划分红权益登记日、投资者退出日和计划终止日。</w:t>
            </w:r>
          </w:p>
        </w:tc>
      </w:tr>
      <w:tr>
        <w:tblPrEx>
          <w:tblBorders>
            <w:top w:val="dashed" w:color="BBBBBB" w:sz="4" w:space="0"/>
            <w:left w:val="dashed" w:color="BBBBBB" w:sz="4" w:space="0"/>
            <w:bottom w:val="dashed" w:color="BBBBBB" w:sz="4" w:space="0"/>
            <w:right w:val="dashed" w:color="BBBBBB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18"/>
                <w:szCs w:val="18"/>
              </w:rPr>
              <w:t>产品风险等级</w:t>
            </w:r>
          </w:p>
        </w:tc>
        <w:tc>
          <w:tcPr>
            <w:tcW w:w="7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</w:tcPr>
          <w:p>
            <w:pPr>
              <w:widowControl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position w:val="2"/>
                <w:sz w:val="18"/>
                <w:szCs w:val="18"/>
              </w:rPr>
              <w:t>管理人评级为R4。</w:t>
            </w:r>
          </w:p>
        </w:tc>
      </w:tr>
    </w:tbl>
    <w:p>
      <w:pPr>
        <w:pStyle w:val="5"/>
        <w:widowControl/>
        <w:spacing w:before="150" w:after="76"/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030000" w:fill="FFFFFF"/>
        </w:rPr>
        <w:t xml:space="preserve">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  <w:t xml:space="preserve"> 信托计划详情及相关风险详询富滇银行各营业网点。</w:t>
      </w:r>
    </w:p>
    <w:p>
      <w:pPr>
        <w:pStyle w:val="5"/>
        <w:widowControl/>
        <w:spacing w:before="150" w:after="76"/>
        <w:ind w:firstLine="660"/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  <w:t>本产品由上海国泰君安证券资产管理有限公司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发行与管理，富滇银行不承担产品投资、兑付和风险管理责任。</w:t>
      </w:r>
    </w:p>
    <w:p>
      <w:pPr>
        <w:pStyle w:val="5"/>
        <w:widowControl/>
        <w:spacing w:before="150" w:after="76"/>
        <w:ind w:firstLine="660"/>
        <w:jc w:val="right"/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</w:pPr>
    </w:p>
    <w:p>
      <w:pPr>
        <w:pStyle w:val="5"/>
        <w:widowControl/>
        <w:spacing w:before="150" w:after="76"/>
        <w:ind w:firstLine="660"/>
        <w:jc w:val="right"/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  <w:t>富滇银行股份有限公司</w:t>
      </w:r>
    </w:p>
    <w:p>
      <w:pPr>
        <w:pStyle w:val="5"/>
        <w:widowControl/>
        <w:spacing w:before="150" w:after="76"/>
        <w:ind w:firstLine="660"/>
        <w:jc w:val="right"/>
        <w:rPr>
          <w:rFonts w:ascii="宋体" w:hAnsi="宋体" w:cs="宋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  <w:t>202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  <w:t>年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  <w:t>月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  <w:lang w:val="en-US" w:eastAsia="zh-CN"/>
        </w:rPr>
        <w:t>30</w:t>
      </w:r>
      <w:bookmarkStart w:id="2" w:name="_GoBack"/>
      <w:bookmarkEnd w:id="2"/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030000" w:fill="FFFFFF"/>
        </w:rPr>
        <w:t>日</w:t>
      </w:r>
    </w:p>
    <w:sectPr>
      <w:pgSz w:w="11906" w:h="16838"/>
      <w:pgMar w:top="851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72670"/>
    <w:rsid w:val="001B0006"/>
    <w:rsid w:val="002522BC"/>
    <w:rsid w:val="00310171"/>
    <w:rsid w:val="0047001F"/>
    <w:rsid w:val="00615774"/>
    <w:rsid w:val="006610EC"/>
    <w:rsid w:val="00772670"/>
    <w:rsid w:val="00776AA6"/>
    <w:rsid w:val="00864818"/>
    <w:rsid w:val="00882F11"/>
    <w:rsid w:val="009F411F"/>
    <w:rsid w:val="00A034D8"/>
    <w:rsid w:val="00C765A4"/>
    <w:rsid w:val="00D02C2F"/>
    <w:rsid w:val="00D2121E"/>
    <w:rsid w:val="00DE3DFA"/>
    <w:rsid w:val="01373D4C"/>
    <w:rsid w:val="020C4A3E"/>
    <w:rsid w:val="02A86BF8"/>
    <w:rsid w:val="03420F5A"/>
    <w:rsid w:val="0651158C"/>
    <w:rsid w:val="065B1B3D"/>
    <w:rsid w:val="07774C58"/>
    <w:rsid w:val="090B6391"/>
    <w:rsid w:val="095E5500"/>
    <w:rsid w:val="09FC6DD0"/>
    <w:rsid w:val="0A5E508E"/>
    <w:rsid w:val="0A7416A1"/>
    <w:rsid w:val="0A871AD6"/>
    <w:rsid w:val="0AC8253F"/>
    <w:rsid w:val="0BEA0098"/>
    <w:rsid w:val="0BF150A5"/>
    <w:rsid w:val="0C721B2E"/>
    <w:rsid w:val="0DCA79F1"/>
    <w:rsid w:val="0E213113"/>
    <w:rsid w:val="0FA0293D"/>
    <w:rsid w:val="0FCC0FF8"/>
    <w:rsid w:val="10AB2BE5"/>
    <w:rsid w:val="12B85398"/>
    <w:rsid w:val="12B86EE8"/>
    <w:rsid w:val="12D4417D"/>
    <w:rsid w:val="12E17E2E"/>
    <w:rsid w:val="15443677"/>
    <w:rsid w:val="158255E8"/>
    <w:rsid w:val="168168C1"/>
    <w:rsid w:val="16B43E0F"/>
    <w:rsid w:val="16BA4D90"/>
    <w:rsid w:val="16E44AB4"/>
    <w:rsid w:val="16FA16C0"/>
    <w:rsid w:val="183271AA"/>
    <w:rsid w:val="184B6D3F"/>
    <w:rsid w:val="19142FE7"/>
    <w:rsid w:val="19401370"/>
    <w:rsid w:val="194E1AA7"/>
    <w:rsid w:val="195C0FB1"/>
    <w:rsid w:val="1A200389"/>
    <w:rsid w:val="1A2F1202"/>
    <w:rsid w:val="1A42248D"/>
    <w:rsid w:val="1A4B6B87"/>
    <w:rsid w:val="1A5204BD"/>
    <w:rsid w:val="1AE25AC4"/>
    <w:rsid w:val="1B196F8A"/>
    <w:rsid w:val="1B5B2EEE"/>
    <w:rsid w:val="1CAF531B"/>
    <w:rsid w:val="1D995F3E"/>
    <w:rsid w:val="20B57099"/>
    <w:rsid w:val="21167369"/>
    <w:rsid w:val="219E0135"/>
    <w:rsid w:val="22325A02"/>
    <w:rsid w:val="23E34242"/>
    <w:rsid w:val="253D7326"/>
    <w:rsid w:val="25731D7F"/>
    <w:rsid w:val="25CC798C"/>
    <w:rsid w:val="2633302A"/>
    <w:rsid w:val="2750388E"/>
    <w:rsid w:val="28894890"/>
    <w:rsid w:val="28962A0F"/>
    <w:rsid w:val="295C266A"/>
    <w:rsid w:val="29BC4E57"/>
    <w:rsid w:val="2A4662E5"/>
    <w:rsid w:val="2B097438"/>
    <w:rsid w:val="2B76220E"/>
    <w:rsid w:val="2C170757"/>
    <w:rsid w:val="2E1C5B78"/>
    <w:rsid w:val="2E232A64"/>
    <w:rsid w:val="2EE826CF"/>
    <w:rsid w:val="2F594BBE"/>
    <w:rsid w:val="2F64514D"/>
    <w:rsid w:val="30247B0A"/>
    <w:rsid w:val="317F4543"/>
    <w:rsid w:val="32545188"/>
    <w:rsid w:val="328174AA"/>
    <w:rsid w:val="333D1A82"/>
    <w:rsid w:val="336736C1"/>
    <w:rsid w:val="34AD46FA"/>
    <w:rsid w:val="34EF5164"/>
    <w:rsid w:val="367811BE"/>
    <w:rsid w:val="36DA046A"/>
    <w:rsid w:val="37677F1B"/>
    <w:rsid w:val="3798788E"/>
    <w:rsid w:val="38D06409"/>
    <w:rsid w:val="396D6ECE"/>
    <w:rsid w:val="39DF54D4"/>
    <w:rsid w:val="3B6362F8"/>
    <w:rsid w:val="3BA3267B"/>
    <w:rsid w:val="3C2C775F"/>
    <w:rsid w:val="3C972F77"/>
    <w:rsid w:val="3CB44AA5"/>
    <w:rsid w:val="3D083CA8"/>
    <w:rsid w:val="3DF45431"/>
    <w:rsid w:val="3E113DBD"/>
    <w:rsid w:val="3F043070"/>
    <w:rsid w:val="3F66564E"/>
    <w:rsid w:val="3FF74C02"/>
    <w:rsid w:val="406F50E1"/>
    <w:rsid w:val="40983EE7"/>
    <w:rsid w:val="40C06849"/>
    <w:rsid w:val="41353855"/>
    <w:rsid w:val="424247BC"/>
    <w:rsid w:val="42D9273C"/>
    <w:rsid w:val="44A567F4"/>
    <w:rsid w:val="451F3A07"/>
    <w:rsid w:val="4675403F"/>
    <w:rsid w:val="46AF5ACA"/>
    <w:rsid w:val="46C11D22"/>
    <w:rsid w:val="46D22159"/>
    <w:rsid w:val="46E50C5D"/>
    <w:rsid w:val="47576DC0"/>
    <w:rsid w:val="47C96CD1"/>
    <w:rsid w:val="4890165D"/>
    <w:rsid w:val="48AD2A8C"/>
    <w:rsid w:val="4B9F639D"/>
    <w:rsid w:val="4BFA5E2A"/>
    <w:rsid w:val="4C083E12"/>
    <w:rsid w:val="4C43492C"/>
    <w:rsid w:val="4D0C2439"/>
    <w:rsid w:val="4D1C4AC2"/>
    <w:rsid w:val="4DB27468"/>
    <w:rsid w:val="4E296290"/>
    <w:rsid w:val="4E706CD7"/>
    <w:rsid w:val="50540C20"/>
    <w:rsid w:val="5070781B"/>
    <w:rsid w:val="514C30F0"/>
    <w:rsid w:val="51A61200"/>
    <w:rsid w:val="52006BBA"/>
    <w:rsid w:val="522E6483"/>
    <w:rsid w:val="52CB6DE5"/>
    <w:rsid w:val="53157D34"/>
    <w:rsid w:val="531E63DE"/>
    <w:rsid w:val="535C5AC0"/>
    <w:rsid w:val="5398250A"/>
    <w:rsid w:val="541762A7"/>
    <w:rsid w:val="551D0C46"/>
    <w:rsid w:val="56073564"/>
    <w:rsid w:val="567724F9"/>
    <w:rsid w:val="56E2062F"/>
    <w:rsid w:val="57044ED0"/>
    <w:rsid w:val="57BE1196"/>
    <w:rsid w:val="58156012"/>
    <w:rsid w:val="586370A9"/>
    <w:rsid w:val="58D0689F"/>
    <w:rsid w:val="5A6E47C6"/>
    <w:rsid w:val="5AB715FE"/>
    <w:rsid w:val="5AFA5B62"/>
    <w:rsid w:val="5BF32AEA"/>
    <w:rsid w:val="5BFA7CDF"/>
    <w:rsid w:val="5D4027F1"/>
    <w:rsid w:val="5E886755"/>
    <w:rsid w:val="5F334021"/>
    <w:rsid w:val="5F6E43A8"/>
    <w:rsid w:val="5FB261B7"/>
    <w:rsid w:val="60C014F6"/>
    <w:rsid w:val="60EC3BF1"/>
    <w:rsid w:val="614D40E8"/>
    <w:rsid w:val="61B968F5"/>
    <w:rsid w:val="62066A93"/>
    <w:rsid w:val="62161BAC"/>
    <w:rsid w:val="62DA005E"/>
    <w:rsid w:val="63D74C00"/>
    <w:rsid w:val="640A5C97"/>
    <w:rsid w:val="64393C7E"/>
    <w:rsid w:val="645D7336"/>
    <w:rsid w:val="64C54DBF"/>
    <w:rsid w:val="64CB796A"/>
    <w:rsid w:val="66375CC2"/>
    <w:rsid w:val="68851CA9"/>
    <w:rsid w:val="68F010FE"/>
    <w:rsid w:val="69D74EB4"/>
    <w:rsid w:val="6A492A73"/>
    <w:rsid w:val="6B7D6262"/>
    <w:rsid w:val="6B861377"/>
    <w:rsid w:val="6BA3333F"/>
    <w:rsid w:val="6BB43A79"/>
    <w:rsid w:val="6D913ADB"/>
    <w:rsid w:val="6E085B93"/>
    <w:rsid w:val="6E8940B4"/>
    <w:rsid w:val="6F3C490B"/>
    <w:rsid w:val="6FF96C8B"/>
    <w:rsid w:val="700F6FBC"/>
    <w:rsid w:val="70C04A87"/>
    <w:rsid w:val="71DD4E6D"/>
    <w:rsid w:val="71E46968"/>
    <w:rsid w:val="722A1ADB"/>
    <w:rsid w:val="723A1635"/>
    <w:rsid w:val="7261385D"/>
    <w:rsid w:val="72663EBE"/>
    <w:rsid w:val="73651863"/>
    <w:rsid w:val="740A0CEC"/>
    <w:rsid w:val="759810C1"/>
    <w:rsid w:val="76170AE2"/>
    <w:rsid w:val="761C5254"/>
    <w:rsid w:val="76722A48"/>
    <w:rsid w:val="78640877"/>
    <w:rsid w:val="79334EF2"/>
    <w:rsid w:val="7955121E"/>
    <w:rsid w:val="798F168E"/>
    <w:rsid w:val="79E8078D"/>
    <w:rsid w:val="79F06E67"/>
    <w:rsid w:val="7B2F04C0"/>
    <w:rsid w:val="7B3958A3"/>
    <w:rsid w:val="7B7F6376"/>
    <w:rsid w:val="7B9F58E0"/>
    <w:rsid w:val="7BB6331F"/>
    <w:rsid w:val="7BE505D2"/>
    <w:rsid w:val="7D163C61"/>
    <w:rsid w:val="7D237C5A"/>
    <w:rsid w:val="7DC36EAF"/>
    <w:rsid w:val="7E4029B0"/>
    <w:rsid w:val="7F717011"/>
    <w:rsid w:val="7FAB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</w:style>
  <w:style w:type="paragraph" w:styleId="3">
    <w:name w:val="annotation text"/>
    <w:basedOn w:val="1"/>
    <w:link w:val="13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paragraph" w:styleId="6">
    <w:name w:val="annotation subject"/>
    <w:basedOn w:val="3"/>
    <w:next w:val="3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paragraph" w:customStyle="1" w:styleId="12">
    <w:name w:val="列表段落1"/>
    <w:basedOn w:val="1"/>
    <w:qFormat/>
    <w:uiPriority w:val="34"/>
    <w:pPr>
      <w:ind w:firstLine="420" w:firstLineChars="200"/>
    </w:pPr>
  </w:style>
  <w:style w:type="character" w:customStyle="1" w:styleId="13">
    <w:name w:val="批注文字 字符"/>
    <w:basedOn w:val="9"/>
    <w:link w:val="3"/>
    <w:qFormat/>
    <w:uiPriority w:val="0"/>
    <w:rPr>
      <w:rFonts w:ascii="Calibri" w:hAnsi="Calibri" w:cs="黑体"/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rFonts w:ascii="Calibri" w:hAnsi="Calibri" w:cs="黑体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690</Characters>
  <Lines>5</Lines>
  <Paragraphs>1</Paragraphs>
  <TotalTime>1</TotalTime>
  <ScaleCrop>false</ScaleCrop>
  <LinksUpToDate>false</LinksUpToDate>
  <CharactersWithSpaces>809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2021-09-28T07:14:00Z</dcterms:created>
  <dc:creator>tony</dc:creator>
  <cp:lastModifiedBy>FUDIAN</cp:lastModifiedBy>
  <dcterms:modified xsi:type="dcterms:W3CDTF">2025-06-30T03:06:07Z</dcterms:modified>
  <dc:title>关于光大信托-宝汇集合资金信托计划鼎益2105期培训及发行通知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55064690DA2841AF82C975D7B2B2FB10</vt:lpwstr>
  </property>
</Properties>
</file>